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6A" w:rsidRPr="00C978A7" w:rsidRDefault="0080306A" w:rsidP="0080306A">
      <w:pPr>
        <w:ind w:left="3544"/>
        <w:rPr>
          <w:color w:val="000000" w:themeColor="text1"/>
          <w:lang w:val="uk-UA"/>
        </w:rPr>
      </w:pPr>
      <w:r w:rsidRPr="00C978A7">
        <w:rPr>
          <w:color w:val="000000" w:themeColor="text1"/>
          <w:lang w:val="uk-UA"/>
        </w:rPr>
        <w:t>Додаток №46</w:t>
      </w:r>
    </w:p>
    <w:p w:rsidR="0080306A" w:rsidRPr="00C978A7" w:rsidRDefault="0080306A" w:rsidP="0080306A">
      <w:pPr>
        <w:ind w:left="3544"/>
        <w:rPr>
          <w:color w:val="000000" w:themeColor="text1"/>
          <w:lang w:val="uk-UA"/>
        </w:rPr>
      </w:pPr>
      <w:r w:rsidRPr="00C978A7">
        <w:rPr>
          <w:color w:val="000000" w:themeColor="text1"/>
          <w:lang w:val="uk-UA"/>
        </w:rPr>
        <w:t xml:space="preserve">до рішення міської ради 19 сесії </w:t>
      </w:r>
      <w:r w:rsidRPr="00C978A7">
        <w:rPr>
          <w:color w:val="000000" w:themeColor="text1"/>
          <w:lang w:val="en-US"/>
        </w:rPr>
        <w:t>VII</w:t>
      </w:r>
      <w:r w:rsidRPr="00C978A7">
        <w:rPr>
          <w:color w:val="000000" w:themeColor="text1"/>
          <w:lang w:val="uk-UA"/>
        </w:rPr>
        <w:t xml:space="preserve"> скликання </w:t>
      </w:r>
    </w:p>
    <w:p w:rsidR="0080306A" w:rsidRPr="00C978A7" w:rsidRDefault="0080306A" w:rsidP="0080306A">
      <w:pPr>
        <w:ind w:left="3544"/>
        <w:rPr>
          <w:color w:val="000000" w:themeColor="text1"/>
          <w:u w:val="single"/>
          <w:lang w:val="uk-UA"/>
        </w:rPr>
      </w:pPr>
      <w:r w:rsidRPr="00C978A7">
        <w:rPr>
          <w:color w:val="000000" w:themeColor="text1"/>
          <w:lang w:val="uk-UA"/>
        </w:rPr>
        <w:t xml:space="preserve">від  </w:t>
      </w:r>
      <w:r w:rsidRPr="00C978A7">
        <w:rPr>
          <w:color w:val="000000" w:themeColor="text1"/>
          <w:u w:val="single"/>
          <w:lang w:val="uk-UA"/>
        </w:rPr>
        <w:t>«26» грудня 2016р.</w:t>
      </w:r>
    </w:p>
    <w:p w:rsidR="0080306A" w:rsidRPr="00C978A7" w:rsidRDefault="0080306A" w:rsidP="0080306A">
      <w:pPr>
        <w:jc w:val="center"/>
        <w:rPr>
          <w:b/>
          <w:bCs/>
          <w:color w:val="000000" w:themeColor="text1"/>
        </w:rPr>
      </w:pPr>
      <w:r w:rsidRPr="00C978A7">
        <w:rPr>
          <w:b/>
          <w:bCs/>
          <w:color w:val="000000" w:themeColor="text1"/>
        </w:rPr>
        <w:t>Міська цільова програма «Удосконалення системи поводження з твердими побутовими відходами м. Ніжина</w:t>
      </w:r>
      <w:r w:rsidRPr="00C978A7">
        <w:rPr>
          <w:b/>
          <w:bCs/>
          <w:color w:val="000000" w:themeColor="text1"/>
          <w:lang w:val="uk-UA"/>
        </w:rPr>
        <w:t>,</w:t>
      </w:r>
      <w:r w:rsidRPr="00C978A7">
        <w:rPr>
          <w:b/>
          <w:bCs/>
          <w:color w:val="000000" w:themeColor="text1"/>
        </w:rPr>
        <w:t xml:space="preserve"> </w:t>
      </w:r>
      <w:r w:rsidRPr="00C978A7">
        <w:rPr>
          <w:b/>
          <w:color w:val="000000" w:themeColor="text1"/>
          <w:lang w:val="uk-UA"/>
        </w:rPr>
        <w:t>р</w:t>
      </w:r>
      <w:r w:rsidRPr="00C978A7">
        <w:rPr>
          <w:b/>
          <w:color w:val="000000" w:themeColor="text1"/>
        </w:rPr>
        <w:t>озвитку та збереження зелених насаджень на 2017 р</w:t>
      </w:r>
      <w:r w:rsidRPr="00C978A7">
        <w:rPr>
          <w:b/>
          <w:color w:val="000000" w:themeColor="text1"/>
          <w:lang w:val="uk-UA"/>
        </w:rPr>
        <w:t>і</w:t>
      </w:r>
      <w:r w:rsidRPr="00C978A7">
        <w:rPr>
          <w:b/>
          <w:color w:val="000000" w:themeColor="text1"/>
        </w:rPr>
        <w:t>к</w:t>
      </w:r>
      <w:r w:rsidRPr="00C978A7">
        <w:rPr>
          <w:b/>
          <w:color w:val="000000" w:themeColor="text1"/>
          <w:lang w:val="uk-UA"/>
        </w:rPr>
        <w:t>.</w:t>
      </w:r>
      <w:r w:rsidRPr="00C978A7">
        <w:rPr>
          <w:b/>
          <w:bCs/>
          <w:color w:val="000000" w:themeColor="text1"/>
        </w:rPr>
        <w:t>»</w:t>
      </w:r>
    </w:p>
    <w:p w:rsidR="0080306A" w:rsidRPr="00C978A7" w:rsidRDefault="0080306A" w:rsidP="0080306A">
      <w:pPr>
        <w:jc w:val="center"/>
        <w:rPr>
          <w:b/>
          <w:bCs/>
          <w:color w:val="000000" w:themeColor="text1"/>
          <w:lang w:eastAsia="uk-UA"/>
        </w:rPr>
      </w:pPr>
      <w:r w:rsidRPr="00C978A7">
        <w:rPr>
          <w:b/>
          <w:bCs/>
          <w:color w:val="000000" w:themeColor="text1"/>
          <w:lang w:eastAsia="uk-UA"/>
        </w:rPr>
        <w:t>1. Паспорт міської програми «</w:t>
      </w:r>
      <w:r w:rsidRPr="00C978A7">
        <w:rPr>
          <w:b/>
          <w:bCs/>
          <w:color w:val="000000" w:themeColor="text1"/>
        </w:rPr>
        <w:t>Удосконалення системи поводження з твердими побутовими відходами м. Ніжина</w:t>
      </w:r>
      <w:r w:rsidRPr="00C978A7">
        <w:rPr>
          <w:b/>
          <w:bCs/>
          <w:color w:val="000000" w:themeColor="text1"/>
          <w:lang w:val="uk-UA"/>
        </w:rPr>
        <w:t>,</w:t>
      </w:r>
      <w:r w:rsidRPr="00C978A7">
        <w:rPr>
          <w:b/>
          <w:bCs/>
          <w:color w:val="000000" w:themeColor="text1"/>
        </w:rPr>
        <w:t xml:space="preserve"> </w:t>
      </w:r>
      <w:r w:rsidRPr="00C978A7">
        <w:rPr>
          <w:b/>
          <w:color w:val="000000" w:themeColor="text1"/>
          <w:lang w:val="uk-UA"/>
        </w:rPr>
        <w:t>р</w:t>
      </w:r>
      <w:r w:rsidRPr="00C978A7">
        <w:rPr>
          <w:b/>
          <w:color w:val="000000" w:themeColor="text1"/>
        </w:rPr>
        <w:t>озвитку та збереження зелених насаджень на 2017 р</w:t>
      </w:r>
      <w:r w:rsidRPr="00C978A7">
        <w:rPr>
          <w:b/>
          <w:color w:val="000000" w:themeColor="text1"/>
          <w:lang w:val="uk-UA"/>
        </w:rPr>
        <w:t>і</w:t>
      </w:r>
      <w:r w:rsidRPr="00C978A7">
        <w:rPr>
          <w:b/>
          <w:color w:val="000000" w:themeColor="text1"/>
        </w:rPr>
        <w:t>к</w:t>
      </w:r>
      <w:r w:rsidRPr="00C978A7">
        <w:rPr>
          <w:b/>
          <w:color w:val="000000" w:themeColor="text1"/>
          <w:lang w:val="uk-UA"/>
        </w:rPr>
        <w:t>.</w:t>
      </w:r>
      <w:r w:rsidRPr="00C978A7">
        <w:rPr>
          <w:b/>
          <w:bCs/>
          <w:color w:val="000000" w:themeColor="text1"/>
        </w:rPr>
        <w:t>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103"/>
        <w:gridCol w:w="4901"/>
      </w:tblGrid>
      <w:tr w:rsidR="0080306A" w:rsidRPr="00C978A7" w:rsidTr="000A74E1">
        <w:tc>
          <w:tcPr>
            <w:tcW w:w="566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1</w:t>
            </w:r>
          </w:p>
        </w:tc>
        <w:tc>
          <w:tcPr>
            <w:tcW w:w="41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Ініціатор розроблення Програми</w:t>
            </w:r>
          </w:p>
        </w:tc>
        <w:tc>
          <w:tcPr>
            <w:tcW w:w="490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</w:rPr>
              <w:t>Управління житлово-комунального господарства та будівництва Ніжинської міської ради</w:t>
            </w:r>
            <w:r w:rsidRPr="00C978A7">
              <w:rPr>
                <w:color w:val="000000" w:themeColor="text1"/>
                <w:lang w:val="uk-UA"/>
              </w:rPr>
              <w:t xml:space="preserve"> </w:t>
            </w:r>
            <w:r w:rsidRPr="00C978A7">
              <w:rPr>
                <w:color w:val="000000" w:themeColor="text1"/>
              </w:rPr>
              <w:t>та Відділ містобудування та архітектури Ніжинського міськвиконкому</w:t>
            </w:r>
          </w:p>
        </w:tc>
      </w:tr>
      <w:tr w:rsidR="0080306A" w:rsidRPr="00C978A7" w:rsidTr="000A74E1">
        <w:tc>
          <w:tcPr>
            <w:tcW w:w="566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2</w:t>
            </w:r>
          </w:p>
        </w:tc>
        <w:tc>
          <w:tcPr>
            <w:tcW w:w="41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01" w:type="dxa"/>
          </w:tcPr>
          <w:p w:rsidR="0080306A" w:rsidRPr="00C978A7" w:rsidRDefault="0080306A" w:rsidP="000A74E1">
            <w:pPr>
              <w:pStyle w:val="a3"/>
              <w:spacing w:after="0" w:line="322" w:lineRule="exact"/>
              <w:ind w:left="40" w:right="40"/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Закони України “Про місцеве самоврядування в Україні”, «Про благоустрій населених пунктів», «Про відходи»  від 05.03.1998 р № 187/98-ВР</w:t>
            </w:r>
            <w:r w:rsidRPr="00C978A7">
              <w:rPr>
                <w:color w:val="000000" w:themeColor="text1"/>
                <w:lang w:val="uk-UA"/>
              </w:rPr>
              <w:t>,</w:t>
            </w:r>
            <w:r w:rsidRPr="00C978A7">
              <w:rPr>
                <w:color w:val="000000" w:themeColor="text1"/>
              </w:rPr>
              <w:t xml:space="preserve"> «Про мораторій на видалення зелених насаджень на окремих об’єктах благоустрою зеленого господарства м. Києва» </w:t>
            </w:r>
          </w:p>
          <w:p w:rsidR="0080306A" w:rsidRPr="00C978A7" w:rsidRDefault="0080306A" w:rsidP="000A74E1">
            <w:pPr>
              <w:pStyle w:val="a3"/>
              <w:spacing w:after="0" w:line="322" w:lineRule="exact"/>
              <w:ind w:left="40" w:right="40"/>
              <w:jc w:val="both"/>
              <w:rPr>
                <w:color w:val="000000" w:themeColor="text1"/>
              </w:rPr>
            </w:pPr>
          </w:p>
        </w:tc>
      </w:tr>
      <w:tr w:rsidR="0080306A" w:rsidRPr="00C978A7" w:rsidTr="000A74E1">
        <w:tc>
          <w:tcPr>
            <w:tcW w:w="566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3</w:t>
            </w:r>
          </w:p>
        </w:tc>
        <w:tc>
          <w:tcPr>
            <w:tcW w:w="41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Розробник Програми</w:t>
            </w:r>
          </w:p>
        </w:tc>
        <w:tc>
          <w:tcPr>
            <w:tcW w:w="490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</w:rPr>
              <w:t>Управління житлово-комунального господарства та будівництва Ніжинської міської ради</w:t>
            </w:r>
            <w:r w:rsidRPr="00C978A7">
              <w:rPr>
                <w:color w:val="000000" w:themeColor="text1"/>
                <w:lang w:val="uk-UA"/>
              </w:rPr>
              <w:t xml:space="preserve"> </w:t>
            </w:r>
            <w:r w:rsidRPr="00C978A7">
              <w:rPr>
                <w:color w:val="000000" w:themeColor="text1"/>
              </w:rPr>
              <w:t>відділ містобудування та архітектури Ніжинського міськвиконкому</w:t>
            </w:r>
          </w:p>
        </w:tc>
      </w:tr>
      <w:tr w:rsidR="0080306A" w:rsidRPr="00C978A7" w:rsidTr="000A74E1">
        <w:tc>
          <w:tcPr>
            <w:tcW w:w="566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4</w:t>
            </w:r>
          </w:p>
        </w:tc>
        <w:tc>
          <w:tcPr>
            <w:tcW w:w="41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Співрозробники Програми</w:t>
            </w:r>
          </w:p>
        </w:tc>
        <w:tc>
          <w:tcPr>
            <w:tcW w:w="490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</w:tr>
      <w:tr w:rsidR="0080306A" w:rsidRPr="00C978A7" w:rsidTr="000A74E1">
        <w:tc>
          <w:tcPr>
            <w:tcW w:w="566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5</w:t>
            </w:r>
          </w:p>
        </w:tc>
        <w:tc>
          <w:tcPr>
            <w:tcW w:w="41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Замовник (відповідальний виконавець    Програми)</w:t>
            </w:r>
          </w:p>
        </w:tc>
        <w:tc>
          <w:tcPr>
            <w:tcW w:w="490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</w:rPr>
              <w:t>Управління житлово-комунального господарства та будівництва</w:t>
            </w:r>
            <w:r w:rsidRPr="00C978A7">
              <w:rPr>
                <w:color w:val="000000" w:themeColor="text1"/>
                <w:lang w:val="uk-UA"/>
              </w:rPr>
              <w:t xml:space="preserve">, </w:t>
            </w:r>
            <w:r w:rsidRPr="00C978A7">
              <w:rPr>
                <w:color w:val="000000" w:themeColor="text1"/>
              </w:rPr>
              <w:t>відділ містобудування та архітектури Ніжинського міськвиконкому</w:t>
            </w:r>
          </w:p>
        </w:tc>
      </w:tr>
      <w:tr w:rsidR="0080306A" w:rsidRPr="00C978A7" w:rsidTr="000A74E1">
        <w:trPr>
          <w:trHeight w:val="669"/>
        </w:trPr>
        <w:tc>
          <w:tcPr>
            <w:tcW w:w="566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6</w:t>
            </w:r>
          </w:p>
        </w:tc>
        <w:tc>
          <w:tcPr>
            <w:tcW w:w="41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Учасники (співвиконавці Програми)</w:t>
            </w:r>
          </w:p>
        </w:tc>
        <w:tc>
          <w:tcPr>
            <w:tcW w:w="4901" w:type="dxa"/>
          </w:tcPr>
          <w:p w:rsidR="0080306A" w:rsidRPr="00C978A7" w:rsidRDefault="0080306A" w:rsidP="000A74E1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</w:rPr>
              <w:t xml:space="preserve">Відбір   виконавців   заходів    програми    здійснюється </w:t>
            </w:r>
            <w:r w:rsidRPr="00C978A7">
              <w:rPr>
                <w:color w:val="000000" w:themeColor="text1"/>
              </w:rPr>
              <w:br/>
              <w:t xml:space="preserve">відповідно  до  Закону  України  </w:t>
            </w:r>
            <w:r w:rsidRPr="00C978A7">
              <w:rPr>
                <w:color w:val="000000" w:themeColor="text1"/>
                <w:lang w:val="uk-UA"/>
              </w:rPr>
              <w:t>«</w:t>
            </w:r>
            <w:r w:rsidRPr="00C978A7">
              <w:rPr>
                <w:color w:val="000000" w:themeColor="text1"/>
              </w:rPr>
              <w:t>Про публічні закупівлі</w:t>
            </w:r>
            <w:r w:rsidRPr="00C978A7">
              <w:rPr>
                <w:color w:val="000000" w:themeColor="text1"/>
                <w:lang w:val="uk-UA"/>
              </w:rPr>
              <w:t>»</w:t>
            </w:r>
          </w:p>
        </w:tc>
      </w:tr>
      <w:tr w:rsidR="0080306A" w:rsidRPr="00C978A7" w:rsidTr="000A74E1">
        <w:tc>
          <w:tcPr>
            <w:tcW w:w="566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7</w:t>
            </w:r>
          </w:p>
        </w:tc>
        <w:tc>
          <w:tcPr>
            <w:tcW w:w="41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Термін реалізації Програми</w:t>
            </w:r>
          </w:p>
        </w:tc>
        <w:tc>
          <w:tcPr>
            <w:tcW w:w="490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2017 р.</w:t>
            </w:r>
          </w:p>
        </w:tc>
      </w:tr>
      <w:tr w:rsidR="0080306A" w:rsidRPr="00C978A7" w:rsidTr="000A74E1">
        <w:tc>
          <w:tcPr>
            <w:tcW w:w="566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8</w:t>
            </w:r>
          </w:p>
        </w:tc>
        <w:tc>
          <w:tcPr>
            <w:tcW w:w="41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0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</w:rPr>
              <w:t>Місцевий бюджет м. Ніжина</w:t>
            </w:r>
          </w:p>
          <w:p w:rsidR="0080306A" w:rsidRPr="00C978A7" w:rsidRDefault="0080306A" w:rsidP="0080306A">
            <w:pPr>
              <w:pStyle w:val="Style20"/>
              <w:widowControl/>
              <w:numPr>
                <w:ilvl w:val="0"/>
                <w:numId w:val="2"/>
              </w:numPr>
              <w:tabs>
                <w:tab w:val="left" w:pos="158"/>
              </w:tabs>
              <w:ind w:right="5"/>
              <w:rPr>
                <w:rStyle w:val="FontStyle36"/>
                <w:color w:val="000000" w:themeColor="text1"/>
                <w:lang w:eastAsia="uk-UA"/>
              </w:rPr>
            </w:pPr>
            <w:r w:rsidRPr="00C978A7">
              <w:rPr>
                <w:rStyle w:val="FontStyle36"/>
                <w:color w:val="000000" w:themeColor="text1"/>
                <w:lang w:eastAsia="uk-UA"/>
              </w:rPr>
              <w:t>Кошти підприємств, установ та організацій, кошти власників, орендарів та користувачів земельних ділянок.</w:t>
            </w:r>
          </w:p>
          <w:p w:rsidR="0080306A" w:rsidRPr="00C978A7" w:rsidRDefault="0080306A" w:rsidP="0080306A">
            <w:pPr>
              <w:pStyle w:val="Style20"/>
              <w:widowControl/>
              <w:numPr>
                <w:ilvl w:val="0"/>
                <w:numId w:val="2"/>
              </w:numPr>
              <w:tabs>
                <w:tab w:val="left" w:pos="158"/>
              </w:tabs>
              <w:jc w:val="left"/>
              <w:rPr>
                <w:color w:val="000000" w:themeColor="text1"/>
                <w:lang w:val="uk-UA"/>
              </w:rPr>
            </w:pPr>
            <w:r w:rsidRPr="00C978A7">
              <w:rPr>
                <w:rStyle w:val="FontStyle36"/>
                <w:color w:val="000000" w:themeColor="text1"/>
                <w:lang w:eastAsia="uk-UA"/>
              </w:rPr>
              <w:t>Спонсорські кошти.</w:t>
            </w:r>
          </w:p>
        </w:tc>
      </w:tr>
      <w:tr w:rsidR="0080306A" w:rsidRPr="00C978A7" w:rsidTr="000A74E1">
        <w:tc>
          <w:tcPr>
            <w:tcW w:w="566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9</w:t>
            </w:r>
          </w:p>
        </w:tc>
        <w:tc>
          <w:tcPr>
            <w:tcW w:w="41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0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  <w:lang w:val="uk-UA"/>
              </w:rPr>
              <w:t>6688,161 тис.грн.</w:t>
            </w:r>
          </w:p>
        </w:tc>
      </w:tr>
      <w:tr w:rsidR="0080306A" w:rsidRPr="00C978A7" w:rsidTr="000A74E1">
        <w:tc>
          <w:tcPr>
            <w:tcW w:w="566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  <w:lang w:val="uk-UA"/>
              </w:rPr>
              <w:t>9.1</w:t>
            </w:r>
          </w:p>
        </w:tc>
        <w:tc>
          <w:tcPr>
            <w:tcW w:w="41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коштів бюджету м. Ніжина в т.ч. погашення боргів минулих років</w:t>
            </w:r>
          </w:p>
        </w:tc>
        <w:tc>
          <w:tcPr>
            <w:tcW w:w="490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  <w:lang w:val="uk-UA"/>
              </w:rPr>
              <w:t>6608,161 тис.грн.</w:t>
            </w:r>
          </w:p>
        </w:tc>
      </w:tr>
      <w:tr w:rsidR="0080306A" w:rsidRPr="00C978A7" w:rsidTr="000A74E1">
        <w:trPr>
          <w:trHeight w:val="562"/>
        </w:trPr>
        <w:tc>
          <w:tcPr>
            <w:tcW w:w="566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  <w:lang w:val="uk-UA"/>
              </w:rPr>
              <w:t>9.2</w:t>
            </w:r>
          </w:p>
        </w:tc>
        <w:tc>
          <w:tcPr>
            <w:tcW w:w="41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коштів інших джерел</w:t>
            </w:r>
          </w:p>
        </w:tc>
        <w:tc>
          <w:tcPr>
            <w:tcW w:w="490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  <w:lang w:val="uk-UA"/>
              </w:rPr>
              <w:t>80,0 тис.грн</w:t>
            </w:r>
          </w:p>
        </w:tc>
      </w:tr>
    </w:tbl>
    <w:p w:rsidR="0080306A" w:rsidRPr="00C978A7" w:rsidRDefault="0080306A" w:rsidP="0080306A">
      <w:pPr>
        <w:spacing w:before="100" w:beforeAutospacing="1"/>
        <w:ind w:firstLine="225"/>
        <w:jc w:val="center"/>
        <w:rPr>
          <w:color w:val="000000" w:themeColor="text1"/>
        </w:rPr>
      </w:pPr>
      <w:r w:rsidRPr="00C978A7">
        <w:rPr>
          <w:b/>
          <w:bCs/>
          <w:color w:val="000000" w:themeColor="text1"/>
        </w:rPr>
        <w:t>2. Проблеми, на розв’язання яких спрямована Програма</w:t>
      </w:r>
    </w:p>
    <w:p w:rsidR="0080306A" w:rsidRPr="00C978A7" w:rsidRDefault="0080306A" w:rsidP="0080306A">
      <w:pPr>
        <w:ind w:firstLine="708"/>
        <w:jc w:val="both"/>
        <w:rPr>
          <w:bCs/>
          <w:color w:val="000000" w:themeColor="text1"/>
          <w:lang w:val="uk-UA"/>
        </w:rPr>
      </w:pPr>
      <w:r w:rsidRPr="00C978A7">
        <w:rPr>
          <w:color w:val="000000" w:themeColor="text1"/>
          <w:lang w:val="uk-UA"/>
        </w:rPr>
        <w:lastRenderedPageBreak/>
        <w:t>Визначає ж</w:t>
      </w:r>
      <w:r w:rsidRPr="00C978A7">
        <w:rPr>
          <w:color w:val="000000" w:themeColor="text1"/>
        </w:rPr>
        <w:t>иттєдіяльність мешканців міста та здійснення діяльності господарюючими суб’єктами</w:t>
      </w:r>
      <w:r w:rsidRPr="00C978A7">
        <w:rPr>
          <w:color w:val="000000" w:themeColor="text1"/>
          <w:lang w:val="uk-UA"/>
        </w:rPr>
        <w:t>, що</w:t>
      </w:r>
      <w:r w:rsidRPr="00C978A7">
        <w:rPr>
          <w:color w:val="000000" w:themeColor="text1"/>
        </w:rPr>
        <w:t xml:space="preserve"> веде до утворення відходів</w:t>
      </w:r>
      <w:r w:rsidRPr="00C978A7">
        <w:rPr>
          <w:color w:val="000000" w:themeColor="text1"/>
          <w:lang w:val="uk-UA"/>
        </w:rPr>
        <w:t xml:space="preserve"> та</w:t>
      </w:r>
      <w:r w:rsidRPr="00C978A7">
        <w:rPr>
          <w:bCs/>
          <w:color w:val="000000" w:themeColor="text1"/>
        </w:rPr>
        <w:t xml:space="preserve"> визначає основні напрями, форми діяльності та відносини міської ради, виконавчого комітету, представників громадськості, фізичних та юридичних осіб стосовно рослинного світу у межах міста</w:t>
      </w:r>
      <w:r w:rsidRPr="00C978A7">
        <w:rPr>
          <w:color w:val="000000" w:themeColor="text1"/>
        </w:rPr>
        <w:t>. В середньому за рік на міське сміттєзвалище поступає до 20.0 тис. тон сміття. Спостерігаються випадки створення стихійних сміттєзвалищ, накопичення відходів у водоохоронній зоні р. Остер.</w:t>
      </w:r>
      <w:r w:rsidRPr="00C978A7">
        <w:rPr>
          <w:bCs/>
          <w:color w:val="000000" w:themeColor="text1"/>
          <w:lang w:val="uk-UA"/>
        </w:rPr>
        <w:t xml:space="preserve"> Також у місті відсутня концепція розвитку зелених зон міста, елементів та об'єктів благоустрою зеленого господарства розташувані хаотично, без врахування не тільки особливостей взаємовідносин між рослинами, але й можливого негативного впливу на стан здоров'я людей.</w:t>
      </w:r>
    </w:p>
    <w:p w:rsidR="0080306A" w:rsidRPr="00C978A7" w:rsidRDefault="0080306A" w:rsidP="0080306A">
      <w:pPr>
        <w:ind w:firstLine="708"/>
        <w:jc w:val="both"/>
        <w:rPr>
          <w:bCs/>
          <w:color w:val="000000" w:themeColor="text1"/>
          <w:lang w:val="uk-UA"/>
        </w:rPr>
      </w:pPr>
      <w:r w:rsidRPr="00C978A7">
        <w:rPr>
          <w:bCs/>
          <w:color w:val="000000" w:themeColor="text1"/>
          <w:lang w:val="uk-UA"/>
        </w:rPr>
        <w:t xml:space="preserve">Програма розроблена на виконання Законів України, та відповідно до Наказу Державного комітету будівництва, архітектури та житлової політики України "Про затвердження Інструкції з інвентаризації зелених насаджень у населених пунктах України" від 24.12.2001 </w:t>
      </w:r>
      <w:r w:rsidRPr="00C978A7">
        <w:rPr>
          <w:bCs/>
          <w:color w:val="000000" w:themeColor="text1"/>
        </w:rPr>
        <w:t>N</w:t>
      </w:r>
      <w:r w:rsidRPr="00C978A7">
        <w:rPr>
          <w:bCs/>
          <w:color w:val="000000" w:themeColor="text1"/>
          <w:lang w:val="uk-UA"/>
        </w:rPr>
        <w:t xml:space="preserve"> 226 , Наказу Міністерства будівництва, архітектури та житлово-комунального господарства України "Про затвердження Правил утримання зелених насаджень у населених пунктах України" від 10.04.2006 р. </w:t>
      </w:r>
      <w:r w:rsidRPr="00C978A7">
        <w:rPr>
          <w:bCs/>
          <w:color w:val="000000" w:themeColor="text1"/>
        </w:rPr>
        <w:t>N</w:t>
      </w:r>
      <w:r w:rsidRPr="00C978A7">
        <w:rPr>
          <w:bCs/>
          <w:color w:val="000000" w:themeColor="text1"/>
          <w:lang w:val="uk-UA"/>
        </w:rPr>
        <w:t xml:space="preserve"> 105, «Правил благоустрою міста Ніжина», затверджених 49 сесією 5 скликання Ніжинської міської ради від 03.06.2009 року.</w:t>
      </w:r>
    </w:p>
    <w:p w:rsidR="0080306A" w:rsidRPr="00C978A7" w:rsidRDefault="0080306A" w:rsidP="0080306A">
      <w:pPr>
        <w:jc w:val="both"/>
        <w:rPr>
          <w:color w:val="000000" w:themeColor="text1"/>
          <w:lang w:val="uk-UA"/>
        </w:rPr>
      </w:pPr>
      <w:r w:rsidRPr="00C978A7">
        <w:rPr>
          <w:color w:val="000000" w:themeColor="text1"/>
          <w:lang w:val="uk-UA"/>
        </w:rPr>
        <w:t>Дана програма визначає:</w:t>
      </w:r>
    </w:p>
    <w:p w:rsidR="0080306A" w:rsidRPr="00C978A7" w:rsidRDefault="0080306A" w:rsidP="0080306A">
      <w:pPr>
        <w:jc w:val="both"/>
        <w:rPr>
          <w:color w:val="000000" w:themeColor="text1"/>
          <w:lang w:val="uk-UA"/>
        </w:rPr>
      </w:pPr>
      <w:r w:rsidRPr="00C978A7">
        <w:rPr>
          <w:color w:val="000000" w:themeColor="text1"/>
          <w:lang w:val="uk-UA"/>
        </w:rPr>
        <w:t>- заходи, спрямовані на поліпшення санітарно-екологічного стану міста та утримання міста в належному санітарному стані згідно санітарних норм;</w:t>
      </w:r>
    </w:p>
    <w:p w:rsidR="0080306A" w:rsidRPr="00C978A7" w:rsidRDefault="0080306A" w:rsidP="0080306A">
      <w:pPr>
        <w:jc w:val="both"/>
        <w:rPr>
          <w:bCs/>
          <w:color w:val="000000" w:themeColor="text1"/>
          <w:lang w:val="uk-UA"/>
        </w:rPr>
      </w:pPr>
      <w:r w:rsidRPr="00C978A7">
        <w:rPr>
          <w:bCs/>
          <w:color w:val="000000" w:themeColor="text1"/>
          <w:lang w:val="uk-UA"/>
        </w:rPr>
        <w:t>- реалізацію комплексу заходів з розвитку, збереження й поновлення зелених насаджень, а також створення місць загального відпочинку населення та гостей міста;</w:t>
      </w:r>
    </w:p>
    <w:p w:rsidR="0080306A" w:rsidRPr="00C978A7" w:rsidRDefault="0080306A" w:rsidP="0080306A">
      <w:pPr>
        <w:rPr>
          <w:b/>
          <w:bCs/>
          <w:color w:val="000000" w:themeColor="text1"/>
        </w:rPr>
      </w:pPr>
      <w:r w:rsidRPr="00C978A7">
        <w:rPr>
          <w:bCs/>
          <w:color w:val="000000" w:themeColor="text1"/>
        </w:rPr>
        <w:t>-</w:t>
      </w:r>
      <w:r w:rsidRPr="00C978A7">
        <w:rPr>
          <w:b/>
          <w:bCs/>
          <w:color w:val="000000" w:themeColor="text1"/>
        </w:rPr>
        <w:t xml:space="preserve"> </w:t>
      </w:r>
      <w:r w:rsidRPr="00C978A7">
        <w:rPr>
          <w:bCs/>
          <w:color w:val="000000" w:themeColor="text1"/>
        </w:rPr>
        <w:t>створення нових міських насаджень і реконструкція наявних;</w:t>
      </w:r>
    </w:p>
    <w:p w:rsidR="0080306A" w:rsidRPr="00C978A7" w:rsidRDefault="0080306A" w:rsidP="0080306A">
      <w:pPr>
        <w:numPr>
          <w:ilvl w:val="0"/>
          <w:numId w:val="2"/>
        </w:numPr>
        <w:rPr>
          <w:color w:val="000000" w:themeColor="text1"/>
        </w:rPr>
      </w:pPr>
      <w:r w:rsidRPr="00C978A7">
        <w:rPr>
          <w:color w:val="000000" w:themeColor="text1"/>
        </w:rPr>
        <w:t>винесення в натурі меж ділянок існуючих об’єктів зеленого господарства - 623 об’єкти;</w:t>
      </w:r>
    </w:p>
    <w:p w:rsidR="0080306A" w:rsidRPr="00C978A7" w:rsidRDefault="0080306A" w:rsidP="0080306A">
      <w:pPr>
        <w:numPr>
          <w:ilvl w:val="0"/>
          <w:numId w:val="2"/>
        </w:numPr>
        <w:rPr>
          <w:bCs/>
          <w:color w:val="000000" w:themeColor="text1"/>
        </w:rPr>
      </w:pPr>
      <w:r w:rsidRPr="00C978A7">
        <w:rPr>
          <w:color w:val="000000" w:themeColor="text1"/>
        </w:rPr>
        <w:t xml:space="preserve"> </w:t>
      </w:r>
      <w:r w:rsidRPr="00C978A7">
        <w:rPr>
          <w:bCs/>
          <w:color w:val="000000" w:themeColor="text1"/>
        </w:rPr>
        <w:t>проведення інвентаризації об’єктів зеленого господарства загальна площа зелених насаджень 195 га;</w:t>
      </w:r>
    </w:p>
    <w:p w:rsidR="0080306A" w:rsidRPr="00C978A7" w:rsidRDefault="0080306A" w:rsidP="0080306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color w:val="000000" w:themeColor="text1"/>
        </w:rPr>
      </w:pPr>
      <w:r w:rsidRPr="00C978A7">
        <w:rPr>
          <w:color w:val="000000" w:themeColor="text1"/>
        </w:rPr>
        <w:t>збільшення території під зеленими насадженнями виходячи з нормативів, передбачених будівельними нормами а саме: території під будівництво нових підприємств, установ, організацій, створення нових парків, скверів відповідно до генерального плану, реконструкція наявних зелених насаджень тощо</w:t>
      </w:r>
      <w:r w:rsidRPr="00C978A7">
        <w:rPr>
          <w:color w:val="000000" w:themeColor="text1"/>
          <w:lang w:val="uk-UA"/>
        </w:rPr>
        <w:t>.</w:t>
      </w:r>
    </w:p>
    <w:p w:rsidR="0080306A" w:rsidRPr="00C978A7" w:rsidRDefault="0080306A" w:rsidP="0080306A">
      <w:pPr>
        <w:jc w:val="center"/>
        <w:rPr>
          <w:b/>
          <w:bCs/>
          <w:color w:val="000000" w:themeColor="text1"/>
        </w:rPr>
      </w:pPr>
      <w:r w:rsidRPr="00C978A7">
        <w:rPr>
          <w:b/>
          <w:bCs/>
          <w:color w:val="000000" w:themeColor="text1"/>
        </w:rPr>
        <w:t>3. Мета програми</w:t>
      </w:r>
    </w:p>
    <w:p w:rsidR="0080306A" w:rsidRPr="00C978A7" w:rsidRDefault="0080306A" w:rsidP="0080306A">
      <w:pPr>
        <w:jc w:val="both"/>
        <w:rPr>
          <w:color w:val="000000" w:themeColor="text1"/>
          <w:lang w:val="uk-UA"/>
        </w:rPr>
      </w:pPr>
      <w:r w:rsidRPr="00C978A7">
        <w:rPr>
          <w:b/>
          <w:bCs/>
          <w:color w:val="000000" w:themeColor="text1"/>
        </w:rPr>
        <w:tab/>
      </w:r>
      <w:r w:rsidRPr="00C978A7">
        <w:rPr>
          <w:color w:val="000000" w:themeColor="text1"/>
        </w:rPr>
        <w:t>Головною метою програми  є забезпечення жителів міста належними умовами проживання</w:t>
      </w:r>
      <w:r w:rsidRPr="00C978A7">
        <w:rPr>
          <w:color w:val="000000" w:themeColor="text1"/>
          <w:lang w:val="uk-UA"/>
        </w:rPr>
        <w:t>, охорона, збереження та відтворення існуючих зелених насаджень, їх гармонійне поєднання з урбанізованою забудовою м. Ніжина, утримання у здоровому впорядкованому стані, створення та формування декоративних, стійких до несприятливих умов навколишнього природного середовища насаджень, що забезпечить збалансований розвиток міської зеленої зони та покращення зовнішньої привабливості вулиць і місць загального громадського користування.</w:t>
      </w:r>
      <w:r w:rsidRPr="00C978A7">
        <w:rPr>
          <w:color w:val="000000" w:themeColor="text1"/>
        </w:rPr>
        <w:t xml:space="preserve">. </w:t>
      </w:r>
    </w:p>
    <w:p w:rsidR="0080306A" w:rsidRPr="00C978A7" w:rsidRDefault="0080306A" w:rsidP="0080306A">
      <w:pPr>
        <w:ind w:firstLine="225"/>
        <w:jc w:val="both"/>
        <w:rPr>
          <w:bCs/>
          <w:color w:val="000000" w:themeColor="text1"/>
          <w:lang w:val="uk-UA"/>
        </w:rPr>
      </w:pPr>
      <w:r w:rsidRPr="00C978A7">
        <w:rPr>
          <w:color w:val="000000" w:themeColor="text1"/>
        </w:rPr>
        <w:t xml:space="preserve">Зокрема належним і постійним наданням послуг по видаленню твердих побутових відходів. Досягнення мети продемонструє можливості  підвищення ефективності поводження з твердими побутовими відходами. Надасть можливість забезпечити гарантований збір відходів по всьому місту з метою зменшення ризику шкідливого впливу на екологію та здоров’я. поліпшити стан навколишнього природного середовища, його естетичні та екологічні складові. </w:t>
      </w:r>
      <w:r w:rsidRPr="00C978A7">
        <w:rPr>
          <w:color w:val="000000" w:themeColor="text1"/>
          <w:lang w:val="uk-UA" w:eastAsia="uk-UA"/>
        </w:rPr>
        <w:t>Д</w:t>
      </w:r>
      <w:r w:rsidRPr="00C978A7">
        <w:rPr>
          <w:color w:val="000000" w:themeColor="text1"/>
          <w:lang w:eastAsia="uk-UA"/>
        </w:rPr>
        <w:t>озволить поліпшити стан навколишнього природного середовища, його естетичні та екологічні складові.</w:t>
      </w:r>
      <w:r w:rsidRPr="00C978A7">
        <w:rPr>
          <w:color w:val="000000" w:themeColor="text1"/>
        </w:rPr>
        <w:t xml:space="preserve"> </w:t>
      </w:r>
      <w:r w:rsidRPr="00C978A7">
        <w:rPr>
          <w:bCs/>
          <w:color w:val="000000" w:themeColor="text1"/>
        </w:rPr>
        <w:t xml:space="preserve">Основною метою Програми є охорона, </w:t>
      </w:r>
    </w:p>
    <w:p w:rsidR="0080306A" w:rsidRPr="00C978A7" w:rsidRDefault="0080306A" w:rsidP="0080306A">
      <w:pPr>
        <w:ind w:firstLine="225"/>
        <w:jc w:val="both"/>
        <w:rPr>
          <w:bCs/>
          <w:color w:val="000000" w:themeColor="text1"/>
          <w:lang w:val="uk-UA"/>
        </w:rPr>
      </w:pPr>
      <w:r w:rsidRPr="00C978A7">
        <w:rPr>
          <w:bCs/>
          <w:color w:val="000000" w:themeColor="text1"/>
          <w:lang w:val="uk-UA"/>
        </w:rPr>
        <w:t xml:space="preserve">збереження та відтворення існуючих зелених насаджень, їх гармонійне поєднання з урбанізованою забудовою м. Ніжина, утримання у здоровому впорядкованому стані, створення та формування декоративних, стійких до несприятливих умов навколишнього природного середовища насаджень, що забезпечить збалансований розвиток міської зеленої зони та покращення зовнішньої привабливості вулиць і місць загального громадського користування. </w:t>
      </w:r>
    </w:p>
    <w:p w:rsidR="0080306A" w:rsidRPr="00C978A7" w:rsidRDefault="0080306A" w:rsidP="0080306A">
      <w:pPr>
        <w:ind w:firstLine="567"/>
        <w:jc w:val="both"/>
        <w:rPr>
          <w:bCs/>
          <w:color w:val="000000" w:themeColor="text1"/>
        </w:rPr>
      </w:pPr>
      <w:r w:rsidRPr="00C978A7">
        <w:rPr>
          <w:bCs/>
          <w:color w:val="000000" w:themeColor="text1"/>
        </w:rPr>
        <w:lastRenderedPageBreak/>
        <w:t>За останній час у місті велике значення приділяється  озелененню та благоустрою територій. Кошти, які надаються з міського бюджету, не дозволяють виконувати роботи з утримання об'єктів благоустрою в повному обсязі. Старі за віком посадки дерев на вулицях міста знаходяться у аварійному стані: при дужих вітрах існує загроза їх падіння на будинки, дитячі майданчики, дороги, ЛЕП,  та інші споруди.</w:t>
      </w:r>
    </w:p>
    <w:p w:rsidR="0080306A" w:rsidRPr="00C978A7" w:rsidRDefault="0080306A" w:rsidP="0080306A">
      <w:pPr>
        <w:spacing w:before="100" w:beforeAutospacing="1"/>
        <w:ind w:firstLine="225"/>
        <w:jc w:val="center"/>
        <w:rPr>
          <w:b/>
          <w:bCs/>
          <w:color w:val="000000" w:themeColor="text1"/>
          <w:lang w:val="uk-UA"/>
        </w:rPr>
      </w:pPr>
      <w:r w:rsidRPr="00C978A7">
        <w:rPr>
          <w:b/>
          <w:bCs/>
          <w:color w:val="000000" w:themeColor="text1"/>
        </w:rPr>
        <w:t>4.  Обґрунтування шляхів і засобів розв’язання проблеми, обсягів та джерел, фінансування, строки виконання програми</w:t>
      </w:r>
    </w:p>
    <w:p w:rsidR="0080306A" w:rsidRPr="00C978A7" w:rsidRDefault="0080306A" w:rsidP="0080306A">
      <w:pPr>
        <w:ind w:firstLine="708"/>
        <w:jc w:val="both"/>
        <w:rPr>
          <w:color w:val="000000" w:themeColor="text1"/>
          <w:lang w:val="uk-UA"/>
        </w:rPr>
      </w:pPr>
      <w:r w:rsidRPr="00C978A7">
        <w:rPr>
          <w:color w:val="000000" w:themeColor="text1"/>
        </w:rPr>
        <w:t xml:space="preserve">Реалізація Програми забезпечується органами місцевого самоврядування , комунальними підприємствами, установами, організаціями міста, юридичними особами та мешканцями міста Ніжина. Управління житлово-комунального господарства та будівництва разом з відділом містобудування та архітектури, управлінням фінансів забезпечують узгоджені дії з підготовки та реалізації програмних заходів, цільового та ефективного використання бюджетних коштів. </w:t>
      </w:r>
    </w:p>
    <w:tbl>
      <w:tblPr>
        <w:tblW w:w="96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11"/>
        <w:gridCol w:w="1134"/>
        <w:gridCol w:w="1303"/>
        <w:gridCol w:w="1800"/>
      </w:tblGrid>
      <w:tr w:rsidR="0080306A" w:rsidRPr="00C978A7" w:rsidTr="000A74E1">
        <w:tc>
          <w:tcPr>
            <w:tcW w:w="648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№ П/п</w:t>
            </w: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Перелік заходів Програми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Кошторисна вартість,   тис. грн..</w:t>
            </w:r>
          </w:p>
        </w:tc>
        <w:tc>
          <w:tcPr>
            <w:tcW w:w="13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Шляхи фінансування</w:t>
            </w: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Відповідальний</w:t>
            </w:r>
          </w:p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виконавець</w:t>
            </w:r>
          </w:p>
        </w:tc>
      </w:tr>
      <w:tr w:rsidR="0080306A" w:rsidRPr="00C978A7" w:rsidTr="000A74E1">
        <w:tc>
          <w:tcPr>
            <w:tcW w:w="648" w:type="dxa"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clear" w:pos="720"/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Вирішити питання збирання та вивозу побутових відходів з приватного сектору міста.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Кошти підприємства</w:t>
            </w: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Надавач даної послуги</w:t>
            </w:r>
          </w:p>
        </w:tc>
      </w:tr>
      <w:tr w:rsidR="0080306A" w:rsidRPr="00C978A7" w:rsidTr="000A74E1">
        <w:tc>
          <w:tcPr>
            <w:tcW w:w="648" w:type="dxa"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spacing w:before="100" w:beforeAutospacing="1"/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Розширити огороджену територію контейнерних майданчиків збору відходів.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  <w:lang w:val="uk-UA"/>
              </w:rPr>
              <w:t>80</w:t>
            </w:r>
            <w:r w:rsidRPr="00C978A7">
              <w:rPr>
                <w:color w:val="000000" w:themeColor="text1"/>
              </w:rPr>
              <w:t>,0</w:t>
            </w:r>
          </w:p>
        </w:tc>
        <w:tc>
          <w:tcPr>
            <w:tcW w:w="13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  <w:lang w:val="uk-UA"/>
              </w:rPr>
              <w:t>інші джерела фінансування</w:t>
            </w: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Балансоутримувач майданчиків</w:t>
            </w:r>
          </w:p>
        </w:tc>
      </w:tr>
      <w:tr w:rsidR="0080306A" w:rsidRPr="00C978A7" w:rsidTr="000A74E1">
        <w:tc>
          <w:tcPr>
            <w:tcW w:w="648" w:type="dxa"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 xml:space="preserve">Забезпечити дезінфекцію контейнерів, автотранспорту та сміттєприймальних пунктів  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Кошти підприємства</w:t>
            </w: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Балансоутримувач</w:t>
            </w:r>
          </w:p>
        </w:tc>
      </w:tr>
      <w:tr w:rsidR="0080306A" w:rsidRPr="00C978A7" w:rsidTr="000A74E1">
        <w:tc>
          <w:tcPr>
            <w:tcW w:w="648" w:type="dxa"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Організувати та постійно  проводити вивіз твердих побутових відходів згідно затверджених графіків.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Кошти мешканці</w:t>
            </w:r>
            <w:r w:rsidRPr="00C978A7">
              <w:rPr>
                <w:color w:val="000000" w:themeColor="text1"/>
                <w:lang w:val="uk-UA"/>
              </w:rPr>
              <w:t>в</w:t>
            </w:r>
            <w:r w:rsidRPr="00C978A7">
              <w:rPr>
                <w:color w:val="000000" w:themeColor="text1"/>
              </w:rPr>
              <w:t xml:space="preserve"> міста</w:t>
            </w: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Надавач послуги</w:t>
            </w:r>
          </w:p>
        </w:tc>
      </w:tr>
      <w:tr w:rsidR="0080306A" w:rsidRPr="00C978A7" w:rsidTr="000A74E1">
        <w:tc>
          <w:tcPr>
            <w:tcW w:w="648" w:type="dxa"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Постійно проводити рейди, щодо дотримання мешканців міста правил благоустрою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Місцевий бюджет, інші джерела фінансування</w:t>
            </w: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</w:rPr>
              <w:t xml:space="preserve">Відділ </w:t>
            </w:r>
            <w:r w:rsidRPr="00C978A7">
              <w:rPr>
                <w:color w:val="000000" w:themeColor="text1"/>
                <w:lang w:val="uk-UA"/>
              </w:rPr>
              <w:t>благоустрою виконавчого комітету</w:t>
            </w:r>
          </w:p>
        </w:tc>
      </w:tr>
      <w:tr w:rsidR="0080306A" w:rsidRPr="00C978A7" w:rsidTr="000A74E1">
        <w:tc>
          <w:tcPr>
            <w:tcW w:w="648" w:type="dxa"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Проводити контроль за накопиченням та сортуванням сміття на сміттєприймальних пунктах міста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Кошти підприємства</w:t>
            </w: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Робітники сміттєприймальних пунктів</w:t>
            </w:r>
          </w:p>
        </w:tc>
      </w:tr>
      <w:tr w:rsidR="0080306A" w:rsidRPr="00C978A7" w:rsidTr="000A74E1">
        <w:trPr>
          <w:trHeight w:val="665"/>
        </w:trPr>
        <w:tc>
          <w:tcPr>
            <w:tcW w:w="648" w:type="dxa"/>
            <w:vMerge w:val="restart"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  <w:vMerge w:val="restart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  <w:lang w:val="uk-UA"/>
              </w:rPr>
              <w:t>У</w:t>
            </w:r>
            <w:r w:rsidRPr="00C978A7">
              <w:rPr>
                <w:color w:val="000000" w:themeColor="text1"/>
              </w:rPr>
              <w:t>тримування вулично-дорожньої мережі та окремих територій загального користування що проходить через казначейську мережу</w:t>
            </w:r>
            <w:r w:rsidRPr="00C978A7">
              <w:rPr>
                <w:color w:val="000000" w:themeColor="text1"/>
                <w:lang w:val="uk-UA"/>
              </w:rPr>
              <w:t>, д</w:t>
            </w:r>
            <w:r w:rsidRPr="00C978A7">
              <w:rPr>
                <w:color w:val="000000" w:themeColor="text1"/>
              </w:rPr>
              <w:t xml:space="preserve">огляд за існуючими зеленими зонами </w:t>
            </w:r>
            <w:r w:rsidRPr="00C978A7">
              <w:rPr>
                <w:color w:val="000000" w:themeColor="text1"/>
                <w:lang w:val="uk-UA"/>
              </w:rPr>
              <w:t>додаткових територій житлових мікрорайонів</w:t>
            </w:r>
            <w:r w:rsidRPr="00C978A7">
              <w:rPr>
                <w:color w:val="000000" w:themeColor="text1"/>
              </w:rPr>
              <w:t>, санітарна обрізка дерев, косовиця</w:t>
            </w:r>
            <w:r w:rsidRPr="00C978A7">
              <w:rPr>
                <w:color w:val="000000" w:themeColor="text1"/>
                <w:lang w:val="uk-UA"/>
              </w:rPr>
              <w:t xml:space="preserve"> </w:t>
            </w:r>
            <w:r w:rsidRPr="00C978A7">
              <w:rPr>
                <w:color w:val="000000" w:themeColor="text1"/>
              </w:rPr>
              <w:t>за рахунок бюджетних коштів через казначейську мережу</w:t>
            </w:r>
            <w:r w:rsidRPr="00C978A7">
              <w:rPr>
                <w:color w:val="000000" w:themeColor="text1"/>
                <w:lang w:val="uk-UA"/>
              </w:rPr>
              <w:t xml:space="preserve">. Догляд за </w:t>
            </w:r>
            <w:r w:rsidRPr="00C978A7">
              <w:rPr>
                <w:color w:val="000000" w:themeColor="text1"/>
                <w:lang w:val="uk-UA"/>
              </w:rPr>
              <w:lastRenderedPageBreak/>
              <w:t xml:space="preserve">існуючими зеленими зонами парків, санітарна обрізка дерев, косовиця, прибирання територій парків – скверів, вирубка дерев, висадка квітів, очистка озера, вивіз сміття. </w:t>
            </w:r>
            <w:r w:rsidRPr="00C978A7">
              <w:rPr>
                <w:bCs/>
                <w:color w:val="000000" w:themeColor="text1"/>
                <w:lang w:val="uk-UA"/>
              </w:rPr>
              <w:t xml:space="preserve">Підготовка теплиць, підготовка та вирощування розсади, копка клумб, завіз землі, внесення добрив, посадка розсади, догляд за клумбами, прибирання та вивіз залишків рослин з клумб, полив клумб в засушливі періоди </w:t>
            </w:r>
            <w:r w:rsidRPr="00C978A7">
              <w:rPr>
                <w:color w:val="000000" w:themeColor="text1"/>
                <w:lang w:val="uk-UA"/>
              </w:rPr>
              <w:t>за рахунок бюджетних коштів через казначейську мережу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  <w:lang w:val="uk-UA"/>
              </w:rPr>
              <w:lastRenderedPageBreak/>
              <w:t>5430,477</w:t>
            </w:r>
          </w:p>
        </w:tc>
        <w:tc>
          <w:tcPr>
            <w:tcW w:w="1303" w:type="dxa"/>
            <w:vMerge w:val="restart"/>
            <w:vAlign w:val="center"/>
          </w:tcPr>
          <w:p w:rsidR="0080306A" w:rsidRPr="00C978A7" w:rsidRDefault="0080306A" w:rsidP="000A74E1">
            <w:pPr>
              <w:jc w:val="center"/>
              <w:rPr>
                <w:color w:val="000000" w:themeColor="text1"/>
                <w:lang w:val="uk-UA"/>
              </w:rPr>
            </w:pPr>
            <w:r w:rsidRPr="00C978A7">
              <w:rPr>
                <w:bCs/>
                <w:color w:val="000000" w:themeColor="text1"/>
                <w:lang w:val="uk-UA"/>
              </w:rPr>
              <w:t xml:space="preserve">Місцевий бюджет фінансування здійснювати як одержувачам </w:t>
            </w:r>
            <w:r w:rsidRPr="00C978A7">
              <w:rPr>
                <w:bCs/>
                <w:color w:val="000000" w:themeColor="text1"/>
                <w:lang w:val="uk-UA"/>
              </w:rPr>
              <w:lastRenderedPageBreak/>
              <w:t>коштів,</w:t>
            </w:r>
            <w:r w:rsidRPr="00C978A7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  <w:lang w:val="uk-UA"/>
              </w:rPr>
              <w:lastRenderedPageBreak/>
              <w:t>КП «ВУКГ»;</w:t>
            </w:r>
          </w:p>
        </w:tc>
      </w:tr>
      <w:tr w:rsidR="0080306A" w:rsidRPr="00C978A7" w:rsidTr="000A74E1">
        <w:trPr>
          <w:trHeight w:val="1538"/>
        </w:trPr>
        <w:tc>
          <w:tcPr>
            <w:tcW w:w="648" w:type="dxa"/>
            <w:vMerge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  <w:vMerge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  <w:lang w:val="uk-UA"/>
              </w:rPr>
              <w:t>300,0</w:t>
            </w:r>
          </w:p>
        </w:tc>
        <w:tc>
          <w:tcPr>
            <w:tcW w:w="1303" w:type="dxa"/>
            <w:vMerge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  <w:lang w:val="uk-UA"/>
              </w:rPr>
              <w:t>КП «СЕЗ»;</w:t>
            </w:r>
          </w:p>
        </w:tc>
      </w:tr>
      <w:tr w:rsidR="0080306A" w:rsidRPr="00C978A7" w:rsidTr="000A74E1">
        <w:trPr>
          <w:trHeight w:val="3143"/>
        </w:trPr>
        <w:tc>
          <w:tcPr>
            <w:tcW w:w="648" w:type="dxa"/>
            <w:vMerge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  <w:vMerge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  <w:lang w:val="uk-UA"/>
              </w:rPr>
              <w:t>250,0</w:t>
            </w:r>
          </w:p>
        </w:tc>
        <w:tc>
          <w:tcPr>
            <w:tcW w:w="1303" w:type="dxa"/>
            <w:vMerge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  <w:lang w:val="uk-UA"/>
              </w:rPr>
              <w:t>КК КП ЖЕК «Північна»</w:t>
            </w:r>
          </w:p>
        </w:tc>
      </w:tr>
      <w:tr w:rsidR="0080306A" w:rsidRPr="00C978A7" w:rsidTr="000A74E1">
        <w:tc>
          <w:tcPr>
            <w:tcW w:w="648" w:type="dxa"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Утримання робітників сміттєприймальних пунктів за рахунок бюджетних коштів через казначейську мережу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  <w:lang w:val="uk-UA"/>
              </w:rPr>
              <w:t>627,684</w:t>
            </w:r>
          </w:p>
        </w:tc>
        <w:tc>
          <w:tcPr>
            <w:tcW w:w="1303" w:type="dxa"/>
            <w:vMerge/>
          </w:tcPr>
          <w:p w:rsidR="0080306A" w:rsidRPr="00C978A7" w:rsidRDefault="0080306A" w:rsidP="000A74E1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Підприємство, надавач послуги по збиранню та вивозу ТПВ</w:t>
            </w:r>
          </w:p>
        </w:tc>
      </w:tr>
      <w:tr w:rsidR="0080306A" w:rsidRPr="00C978A7" w:rsidTr="000A74E1">
        <w:tc>
          <w:tcPr>
            <w:tcW w:w="648" w:type="dxa"/>
            <w:vMerge w:val="restart"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bCs/>
                <w:color w:val="000000" w:themeColor="text1"/>
              </w:rPr>
            </w:pPr>
            <w:r w:rsidRPr="00C978A7">
              <w:rPr>
                <w:color w:val="000000" w:themeColor="text1"/>
              </w:rPr>
              <w:t>Збереження існуючих зелених насаджень міста, створення нових насаджень;   забезпечення   безпечних   умов   життєдіяльності населення, комплексний підхід до озеленення  з урахуванням природно-кліматичних умов; забезпечення максимального озеленення територій міста при оптимальному використанні бюджетних коштів; проведення інвентаризації та паспортизації існуючих зелених насаджень міста;</w:t>
            </w:r>
          </w:p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доведення якісних та кількісних показників об'єктів озеленення до рівня нормативних;</w:t>
            </w:r>
          </w:p>
          <w:p w:rsidR="0080306A" w:rsidRPr="00C978A7" w:rsidRDefault="0080306A" w:rsidP="000A74E1">
            <w:pPr>
              <w:jc w:val="both"/>
              <w:rPr>
                <w:bCs/>
                <w:color w:val="000000" w:themeColor="text1"/>
              </w:rPr>
            </w:pPr>
            <w:r w:rsidRPr="00C978A7">
              <w:rPr>
                <w:color w:val="000000" w:themeColor="text1"/>
              </w:rPr>
              <w:t>відведення земельних ділянок для створення парків, скверів на території міста та вже існуючих; оцінка стану міських зелених насаджень та розробка плану їх збереження та реконструкції на 2012-2015 роки; формування системи естетично привабливих ландшафтних комплексів, створення захисних озеленених територій в межах санітарно-захисної зони місць розташування об’єктів промисловості; Налагодження прогнозу розвитку шкідливих організмів та впровадження безпечних для людини засобів захисту рослин, впровадження систем агротехнічних заходів з врахуванням особливостей видового складу рослин;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3" w:type="dxa"/>
            <w:vMerge w:val="restart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bCs/>
                <w:color w:val="000000" w:themeColor="text1"/>
              </w:rPr>
              <w:t>Місцевий бюджет</w:t>
            </w:r>
            <w:r w:rsidRPr="00C978A7">
              <w:rPr>
                <w:color w:val="000000" w:themeColor="text1"/>
              </w:rPr>
              <w:t>; кошти підприємств, установ та організацій, кошти власників орендарів та користувачів земельних ділянок;</w:t>
            </w:r>
          </w:p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спонсорські кошти</w:t>
            </w:r>
          </w:p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державний бюджет</w:t>
            </w:r>
          </w:p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добровільні внески юридичних осіб та громадян;</w:t>
            </w:r>
          </w:p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 xml:space="preserve"> інші джерела</w:t>
            </w:r>
          </w:p>
          <w:p w:rsidR="0080306A" w:rsidRPr="00C978A7" w:rsidRDefault="0080306A" w:rsidP="000A74E1">
            <w:pPr>
              <w:jc w:val="both"/>
              <w:rPr>
                <w:bCs/>
                <w:color w:val="000000" w:themeColor="text1"/>
              </w:rPr>
            </w:pPr>
          </w:p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bCs/>
                <w:color w:val="000000" w:themeColor="text1"/>
              </w:rPr>
            </w:pPr>
            <w:r w:rsidRPr="00C978A7">
              <w:rPr>
                <w:color w:val="000000" w:themeColor="text1"/>
              </w:rPr>
              <w:t xml:space="preserve">Виконавчий комітет, управління ЖКГ та Б, комунальні підприємства міста, інші підприємства, установи, організації та мешканці м. Ніжина.   </w:t>
            </w:r>
          </w:p>
        </w:tc>
      </w:tr>
      <w:tr w:rsidR="0080306A" w:rsidRPr="00C978A7" w:rsidTr="000A74E1">
        <w:tc>
          <w:tcPr>
            <w:tcW w:w="648" w:type="dxa"/>
            <w:vMerge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Визначення необхідних об'ємів робіт з поточного утримання та поточного ремонту зелених насаджень; укріплення матеріальної та технічної бази КП «</w:t>
            </w:r>
            <w:r w:rsidRPr="00C978A7">
              <w:rPr>
                <w:color w:val="000000" w:themeColor="text1"/>
                <w:lang w:val="uk-UA"/>
              </w:rPr>
              <w:t>НМПБ</w:t>
            </w:r>
            <w:r w:rsidRPr="00C978A7">
              <w:rPr>
                <w:color w:val="000000" w:themeColor="text1"/>
              </w:rPr>
              <w:t>» та КП «Графський парк», як базової організації для проведення робіт з озеленення міста;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dxa"/>
            <w:vMerge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C978A7">
              <w:rPr>
                <w:color w:val="000000" w:themeColor="text1"/>
              </w:rPr>
              <w:t>Управління ЖКГ та будівництва</w:t>
            </w:r>
          </w:p>
        </w:tc>
      </w:tr>
      <w:tr w:rsidR="0080306A" w:rsidRPr="00C978A7" w:rsidTr="000A74E1">
        <w:tc>
          <w:tcPr>
            <w:tcW w:w="648" w:type="dxa"/>
            <w:vMerge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Пропагування в дитячих дошкільних закладах, серед учнівських, студентських колективів, мешканців міста важливості збереження та збільшення зелених насаджень на міській території, а також впливу зелених насаджень на покращення екологічної ситуації та на здоров'я людей;   залучення мешканців міста до проведення акцій з озеленення міста; Проведення інформаційно-просвітницьких заходів з метою підвищення екологічної освіти населення, проведення тематичних  екскурсійних  маршрутів, організація телевізійних програм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dxa"/>
            <w:vMerge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80306A" w:rsidRPr="00C978A7" w:rsidRDefault="0080306A" w:rsidP="000A74E1">
            <w:pPr>
              <w:ind w:left="-108" w:right="-108"/>
              <w:jc w:val="both"/>
              <w:rPr>
                <w:bCs/>
                <w:color w:val="000000" w:themeColor="text1"/>
              </w:rPr>
            </w:pPr>
            <w:r w:rsidRPr="00C978A7">
              <w:rPr>
                <w:color w:val="000000" w:themeColor="text1"/>
              </w:rPr>
              <w:t>Управління освіти, відділ у справах сім’ї та  молоді, громадські організації; управління ЖКГ та будівництва    відділ земельних ресурсів, відділ містобудування та архітектури</w:t>
            </w:r>
          </w:p>
        </w:tc>
      </w:tr>
      <w:tr w:rsidR="0080306A" w:rsidRPr="00C978A7" w:rsidTr="000A74E1">
        <w:tc>
          <w:tcPr>
            <w:tcW w:w="648" w:type="dxa"/>
            <w:vMerge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bCs/>
                <w:color w:val="000000" w:themeColor="text1"/>
              </w:rPr>
            </w:pPr>
            <w:r w:rsidRPr="00C978A7">
              <w:rPr>
                <w:color w:val="000000" w:themeColor="text1"/>
              </w:rPr>
              <w:t>Догляд за існуючими зеленими зонами парків, центральних вулиць, на при будинкових територіях житлових будинків різних форм власності.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dxa"/>
            <w:vMerge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bCs/>
                <w:color w:val="000000" w:themeColor="text1"/>
              </w:rPr>
            </w:pPr>
            <w:r w:rsidRPr="00C978A7">
              <w:rPr>
                <w:color w:val="000000" w:themeColor="text1"/>
              </w:rPr>
              <w:t>Власники балансоутримувачі, користувачі та  орендарі  територій</w:t>
            </w:r>
          </w:p>
        </w:tc>
      </w:tr>
      <w:tr w:rsidR="0080306A" w:rsidRPr="00C978A7" w:rsidTr="000A74E1">
        <w:tc>
          <w:tcPr>
            <w:tcW w:w="648" w:type="dxa"/>
            <w:vMerge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Організація  проведення інвентаризації зелених насаджень та паспортизації об'єктів зеленого господарства в т.ч. загального та спеціального користування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dxa"/>
            <w:vMerge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Балансоутримувачі власники, користувачі та орендарі  земельних ділянок,  виконавчий комітет  Ніжинської міської ради</w:t>
            </w:r>
          </w:p>
        </w:tc>
      </w:tr>
      <w:tr w:rsidR="0080306A" w:rsidRPr="00C978A7" w:rsidTr="000A74E1">
        <w:tc>
          <w:tcPr>
            <w:tcW w:w="648" w:type="dxa"/>
            <w:vMerge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Проведення заходів, пов’язаних з озелененням міста з визначенням найкращої озелененої території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dxa"/>
            <w:vMerge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80306A" w:rsidRPr="00C978A7" w:rsidRDefault="0080306A" w:rsidP="000A74E1">
            <w:pPr>
              <w:ind w:right="-108"/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 xml:space="preserve">управління ЖКГ та будівництва </w:t>
            </w:r>
            <w:r w:rsidRPr="00C978A7">
              <w:rPr>
                <w:color w:val="000000" w:themeColor="text1"/>
                <w:lang w:val="uk-UA"/>
              </w:rPr>
              <w:t>та</w:t>
            </w:r>
            <w:r w:rsidRPr="00C978A7">
              <w:rPr>
                <w:color w:val="000000" w:themeColor="text1"/>
              </w:rPr>
              <w:t xml:space="preserve">   Відділ містобудування та архітектури Ніжин-го міськвиконкому Ніжин-ої міської ради</w:t>
            </w:r>
          </w:p>
        </w:tc>
      </w:tr>
      <w:tr w:rsidR="0080306A" w:rsidRPr="00C978A7" w:rsidTr="000A74E1">
        <w:tc>
          <w:tcPr>
            <w:tcW w:w="648" w:type="dxa"/>
            <w:vMerge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Організація і проведення систематичних обстежень території міста на виявлення прихованої та явної зараженості зеленої зони регульованими шкідливими організмами, а також локалізація та ліквідація їх вогнищ.   Встановлення меж парків і скверів міста, створення «Зеленої карти міста». Здійснення контролю при розробці проектної документації на будівництво нових об'єктів, реконструкцію або капітальний ремонт споруд і будівель та  виконанням робіт по озелененню території у відповідності  з проектною документацією і забезпеченню передачі зелених насаджень на баланс  ради після проведення інвентаризації зелених насаджень. Передбачити на  територіях  забудови мікрорайонів відведення земельних ділянок для  створення нових парків, скверів відповідно до будівельних норм.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dxa"/>
            <w:vMerge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Виконавчий комітет Ніжинської міської ради, балансоутримувачі, користувачі та орендарі  земельних ділянок</w:t>
            </w:r>
          </w:p>
        </w:tc>
      </w:tr>
      <w:tr w:rsidR="0080306A" w:rsidRPr="00C978A7" w:rsidTr="000A74E1">
        <w:tc>
          <w:tcPr>
            <w:tcW w:w="648" w:type="dxa"/>
            <w:vMerge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Використання в озелененні асортименту рослин з переважанням стійких до шкідливих організмів та умов існування видів з урахуванням стану навколишнього природного середовища та антропогенного навантаження, проведення вертикального озеленення малих архітектурних форм; проведення санітарної обрізки та знесення аварійних дерев, корчування пеньків, озеленення вулиць міста, реконструкція зеленої зони об’єктів, поточне утримання зеленої зони міста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dxa"/>
            <w:vMerge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80306A" w:rsidRPr="00C978A7" w:rsidTr="000A74E1">
        <w:tc>
          <w:tcPr>
            <w:tcW w:w="648" w:type="dxa"/>
            <w:vMerge/>
          </w:tcPr>
          <w:p w:rsidR="0080306A" w:rsidRPr="00C978A7" w:rsidRDefault="0080306A" w:rsidP="0080306A">
            <w:pPr>
              <w:numPr>
                <w:ilvl w:val="0"/>
                <w:numId w:val="3"/>
              </w:numPr>
              <w:tabs>
                <w:tab w:val="num" w:pos="-3060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811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Проведення інформаційно-просвітницьких заходів з метою підвищення екологічної освіти населення, проведення тематичних  екскурсійних  маршрутів, організація телевізійних програм</w:t>
            </w:r>
          </w:p>
        </w:tc>
        <w:tc>
          <w:tcPr>
            <w:tcW w:w="1134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dxa"/>
            <w:vMerge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80306A" w:rsidRPr="00C978A7" w:rsidRDefault="0080306A" w:rsidP="000A74E1">
            <w:pPr>
              <w:jc w:val="both"/>
              <w:rPr>
                <w:color w:val="000000" w:themeColor="text1"/>
              </w:rPr>
            </w:pPr>
            <w:r w:rsidRPr="00C978A7">
              <w:rPr>
                <w:color w:val="000000" w:themeColor="text1"/>
              </w:rPr>
              <w:t>Управління освіти, відділ у справах сім’ї та  молоді, громадські організації;</w:t>
            </w:r>
          </w:p>
        </w:tc>
      </w:tr>
    </w:tbl>
    <w:p w:rsidR="0080306A" w:rsidRPr="00C978A7" w:rsidRDefault="0080306A" w:rsidP="0080306A">
      <w:pPr>
        <w:ind w:firstLine="720"/>
        <w:jc w:val="both"/>
        <w:rPr>
          <w:color w:val="000000" w:themeColor="text1"/>
          <w:lang w:val="uk-UA"/>
        </w:rPr>
      </w:pPr>
      <w:r w:rsidRPr="00C978A7">
        <w:rPr>
          <w:color w:val="000000" w:themeColor="text1"/>
        </w:rPr>
        <w:t>Підприємства, відповідальні за виконання конкретних заходів, розробляють кошторис та надають його в управління житлово-комунального господарства для формування бюджетного запиту для фінансування Програми на черговий фінансовий рік.</w:t>
      </w:r>
    </w:p>
    <w:p w:rsidR="0080306A" w:rsidRPr="00C978A7" w:rsidRDefault="0080306A" w:rsidP="0080306A">
      <w:pPr>
        <w:ind w:firstLine="708"/>
        <w:jc w:val="both"/>
        <w:rPr>
          <w:color w:val="000000" w:themeColor="text1"/>
        </w:rPr>
      </w:pPr>
      <w:r w:rsidRPr="00C978A7">
        <w:rPr>
          <w:color w:val="000000" w:themeColor="text1"/>
        </w:rPr>
        <w:t xml:space="preserve">Для досягнення поставлених програмою завдань та мети протягом 2017 р. будуть залучатися кошти з місцевого бюджету в межах кошторисних призначень. Крім цього будуть кооперуватися кошти підприємств та інших джерел фінансування. </w:t>
      </w:r>
    </w:p>
    <w:p w:rsidR="0080306A" w:rsidRPr="00C978A7" w:rsidRDefault="0080306A" w:rsidP="0080306A">
      <w:pPr>
        <w:ind w:firstLine="720"/>
        <w:jc w:val="both"/>
        <w:rPr>
          <w:color w:val="000000" w:themeColor="text1"/>
        </w:rPr>
      </w:pPr>
      <w:r w:rsidRPr="00C978A7">
        <w:rPr>
          <w:color w:val="000000" w:themeColor="text1"/>
        </w:rPr>
        <w:t>Оплата кредиторської заборгованості за виконані роботи та надані послуги в попередньому році.</w:t>
      </w:r>
    </w:p>
    <w:p w:rsidR="0080306A" w:rsidRPr="00C978A7" w:rsidRDefault="0080306A" w:rsidP="0080306A">
      <w:pPr>
        <w:jc w:val="center"/>
        <w:rPr>
          <w:b/>
          <w:color w:val="000000" w:themeColor="text1"/>
          <w:lang w:val="uk-UA"/>
        </w:rPr>
      </w:pPr>
      <w:r w:rsidRPr="00C978A7">
        <w:rPr>
          <w:b/>
          <w:color w:val="000000" w:themeColor="text1"/>
        </w:rPr>
        <w:t xml:space="preserve">5. Організація управління та контроль за ходом реалізації програми, </w:t>
      </w:r>
    </w:p>
    <w:p w:rsidR="0080306A" w:rsidRPr="00C978A7" w:rsidRDefault="0080306A" w:rsidP="0080306A">
      <w:pPr>
        <w:jc w:val="both"/>
        <w:rPr>
          <w:color w:val="000000" w:themeColor="text1"/>
          <w:lang w:val="uk-UA"/>
        </w:rPr>
      </w:pPr>
      <w:r w:rsidRPr="00C978A7">
        <w:rPr>
          <w:color w:val="000000" w:themeColor="text1"/>
          <w:lang w:val="uk-UA"/>
        </w:rPr>
        <w:t xml:space="preserve">  Організація виконання Програми, аналіз та контроль за використанням коштів здійснюється головним розпорядником коштів-Управління житлово- комунального господарства та будівництва Ніжинської міської ради.</w:t>
      </w:r>
    </w:p>
    <w:p w:rsidR="0080306A" w:rsidRPr="00C978A7" w:rsidRDefault="0080306A" w:rsidP="0080306A">
      <w:pPr>
        <w:ind w:firstLine="708"/>
        <w:jc w:val="both"/>
        <w:rPr>
          <w:color w:val="000000" w:themeColor="text1"/>
          <w:lang w:val="uk-UA"/>
        </w:rPr>
      </w:pPr>
      <w:r w:rsidRPr="00C978A7">
        <w:rPr>
          <w:color w:val="000000" w:themeColor="text1"/>
          <w:lang w:val="uk-UA"/>
        </w:rPr>
        <w:t>Учасники (співвиконавці Програми) звітують про виконання заходів Програми  Управлінню житлово комунального господарства та будівництва щомісячно, до 5-го числа місяця, наступного за звітним.</w:t>
      </w:r>
    </w:p>
    <w:p w:rsidR="0080306A" w:rsidRPr="00C978A7" w:rsidRDefault="0080306A" w:rsidP="0080306A">
      <w:pPr>
        <w:ind w:firstLine="708"/>
        <w:jc w:val="both"/>
        <w:rPr>
          <w:color w:val="000000" w:themeColor="text1"/>
          <w:lang w:val="uk-UA"/>
        </w:rPr>
      </w:pPr>
      <w:r w:rsidRPr="00C978A7">
        <w:rPr>
          <w:color w:val="000000" w:themeColor="text1"/>
          <w:lang w:val="uk-UA"/>
        </w:rPr>
        <w:t>Управління житлово 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80306A" w:rsidRPr="00C978A7" w:rsidRDefault="0080306A" w:rsidP="0080306A">
      <w:pPr>
        <w:tabs>
          <w:tab w:val="left" w:pos="3960"/>
          <w:tab w:val="left" w:pos="4860"/>
          <w:tab w:val="left" w:pos="9354"/>
        </w:tabs>
        <w:ind w:right="-6"/>
        <w:jc w:val="both"/>
        <w:outlineLvl w:val="0"/>
        <w:rPr>
          <w:color w:val="000000" w:themeColor="text1"/>
          <w:lang w:val="uk-UA"/>
        </w:rPr>
      </w:pPr>
    </w:p>
    <w:p w:rsidR="0080306A" w:rsidRPr="00C978A7" w:rsidRDefault="0080306A" w:rsidP="0080306A">
      <w:pPr>
        <w:pStyle w:val="20"/>
        <w:spacing w:before="0" w:line="240" w:lineRule="auto"/>
        <w:jc w:val="left"/>
        <w:rPr>
          <w:rStyle w:val="21"/>
          <w:color w:val="000000" w:themeColor="text1"/>
          <w:sz w:val="24"/>
          <w:szCs w:val="24"/>
        </w:rPr>
      </w:pPr>
      <w:r w:rsidRPr="00C978A7">
        <w:rPr>
          <w:b w:val="0"/>
          <w:bCs w:val="0"/>
          <w:color w:val="000000" w:themeColor="text1"/>
          <w:sz w:val="24"/>
          <w:szCs w:val="24"/>
          <w:shd w:val="clear" w:color="auto" w:fill="auto"/>
          <w:lang w:val="uk-UA"/>
        </w:rPr>
        <w:t xml:space="preserve">     </w:t>
      </w:r>
    </w:p>
    <w:p w:rsidR="00787CBE" w:rsidRPr="00C978A7" w:rsidRDefault="0080306A" w:rsidP="0080306A">
      <w:pPr>
        <w:rPr>
          <w:color w:val="000000" w:themeColor="text1"/>
        </w:rPr>
      </w:pPr>
      <w:r w:rsidRPr="00C978A7">
        <w:rPr>
          <w:color w:val="000000" w:themeColor="text1"/>
        </w:rPr>
        <w:t>Міський голова</w:t>
      </w:r>
      <w:r w:rsidRPr="00C978A7">
        <w:rPr>
          <w:color w:val="000000" w:themeColor="text1"/>
        </w:rPr>
        <w:tab/>
      </w:r>
      <w:r w:rsidRPr="00C978A7">
        <w:rPr>
          <w:color w:val="000000" w:themeColor="text1"/>
        </w:rPr>
        <w:tab/>
      </w:r>
      <w:r w:rsidRPr="00C978A7">
        <w:rPr>
          <w:color w:val="000000" w:themeColor="text1"/>
        </w:rPr>
        <w:tab/>
      </w:r>
      <w:r w:rsidRPr="00C978A7">
        <w:rPr>
          <w:color w:val="000000" w:themeColor="text1"/>
        </w:rPr>
        <w:tab/>
      </w:r>
      <w:r w:rsidRPr="00C978A7">
        <w:rPr>
          <w:color w:val="000000" w:themeColor="text1"/>
        </w:rPr>
        <w:tab/>
      </w:r>
      <w:r w:rsidRPr="00C978A7">
        <w:rPr>
          <w:color w:val="000000" w:themeColor="text1"/>
        </w:rPr>
        <w:tab/>
        <w:t xml:space="preserve">                        </w:t>
      </w:r>
      <w:r w:rsidRPr="00C978A7">
        <w:rPr>
          <w:color w:val="000000" w:themeColor="text1"/>
        </w:rPr>
        <w:tab/>
        <w:t>А.В.Лінник</w:t>
      </w:r>
    </w:p>
    <w:sectPr w:rsidR="00787CBE" w:rsidRPr="00C978A7" w:rsidSect="0078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7C5566"/>
    <w:lvl w:ilvl="0">
      <w:numFmt w:val="bullet"/>
      <w:lvlText w:val="*"/>
      <w:lvlJc w:val="left"/>
    </w:lvl>
  </w:abstractNum>
  <w:abstractNum w:abstractNumId="1">
    <w:nsid w:val="5554511A"/>
    <w:multiLevelType w:val="hybridMultilevel"/>
    <w:tmpl w:val="3A0A0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0096B"/>
    <w:multiLevelType w:val="hybridMultilevel"/>
    <w:tmpl w:val="DAC42144"/>
    <w:lvl w:ilvl="0" w:tplc="BBECE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306A"/>
    <w:rsid w:val="00366161"/>
    <w:rsid w:val="00787CBE"/>
    <w:rsid w:val="0080306A"/>
    <w:rsid w:val="00C9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30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306A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80306A"/>
    <w:rPr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06A"/>
    <w:pPr>
      <w:shd w:val="clear" w:color="auto" w:fill="FFFFFF"/>
      <w:spacing w:before="480" w:line="346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shd w:val="clear" w:color="auto" w:fill="FFFFFF"/>
      <w:lang w:eastAsia="en-US"/>
    </w:rPr>
  </w:style>
  <w:style w:type="paragraph" w:customStyle="1" w:styleId="Style20">
    <w:name w:val="Style20"/>
    <w:basedOn w:val="a"/>
    <w:rsid w:val="0080306A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rsid w:val="0080306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1">
    <w:name w:val="Основной текст2"/>
    <w:uiPriority w:val="99"/>
    <w:rsid w:val="0080306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2213</Words>
  <Characters>12618</Characters>
  <Application>Microsoft Office Word</Application>
  <DocSecurity>0</DocSecurity>
  <Lines>105</Lines>
  <Paragraphs>29</Paragraphs>
  <ScaleCrop>false</ScaleCrop>
  <Company/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Фин1</dc:creator>
  <cp:lastModifiedBy>Фин1</cp:lastModifiedBy>
  <cp:revision>2</cp:revision>
  <dcterms:created xsi:type="dcterms:W3CDTF">2016-12-28T09:51:00Z</dcterms:created>
  <dcterms:modified xsi:type="dcterms:W3CDTF">2016-12-28T10:31:00Z</dcterms:modified>
</cp:coreProperties>
</file>